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hd w:val="nil" w:color="auto"/>
        <w:rPr>
          <w14:ligatures w14:val="none"/>
        </w:rPr>
      </w:pPr>
      <w:r>
        <w:t xml:space="preserve">ЛАНИТ-ТЕРКОМ и ПАО «Газпром нефть» разработали цифровой двойник сейсморазведочных работ. Его внедрение компания-заказчик оценила как ключевой проект в области наземных методов исследований в сезоне 2020-2021 гг.</w:t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shd w:val="nil" w:color="auto"/>
        <w:rPr>
          <w14:ligatures w14:val="none"/>
        </w:rPr>
      </w:pPr>
      <w:r>
        <w:t xml:space="preserve">Цифровой сервис позволяет специалистам компании получить оперативный доступ к статистике и аналитике по всем параметрам полевых и камеральных работ, как из офиса, так и находясь на удаленной площадке. Инновационная платформа объединила данные более чем 800</w:t>
      </w:r>
      <w:r>
        <w:t xml:space="preserve"> геологоразведочных проектов. На их основании алгоритмы, составляющие вычислительное ядро платформы, в несколько раз сократили сроки анализа информации и повысили качество принимаемых геологами решений.</w:t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shd w:val="nil" w:color="auto"/>
        <w:rPr>
          <w14:ligatures w14:val="none"/>
        </w:rPr>
      </w:pPr>
      <w:r>
        <w:t xml:space="preserve">Команда проекта продолжает развитие продукта: платформа дополнена мобильным приложением для оперативного внесения ежедневных сводок представителями сервисных компаний, произведена интеграция с другими решениями и сервисами.</w:t>
      </w:r>
      <w:r>
        <w:rPr>
          <w14:ligatures w14:val="none"/>
        </w:rPr>
      </w:r>
      <w:r>
        <w:rPr>
          <w14:ligatures w14:val="none"/>
        </w:rPr>
      </w:r>
    </w:p>
    <w:p>
      <w:pPr>
        <w:jc w:val="both"/>
        <w:shd w:val="nil" w:color="auto"/>
        <w:rPr>
          <w:b/>
          <w:bCs/>
          <w14:ligatures w14:val="none"/>
        </w:rPr>
      </w:pPr>
      <w:r>
        <w:rPr>
          <w:b/>
          <w:bCs/>
        </w:rPr>
        <w:t xml:space="preserve">Факты о проекте:</w:t>
      </w:r>
      <w:r>
        <w:rPr>
          <w:b/>
          <w:bCs/>
          <w14:ligatures w14:val="none"/>
        </w:rPr>
      </w:r>
      <w:r>
        <w:rPr>
          <w:b/>
          <w:bCs/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800 + исторических проектов в системе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До 100% качественных данных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Более 20% сокращение длительности проектного цикла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До 40 млн рублей экономии на проведении полевых работ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Цифровой двойник охватывает 100% полевых проектов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130+ уникальных пользователей в системе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Победитель конкурса «Лучшие цифровые решения для нефтегазовой отрасли – 2022» (ComNews)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41"/>
        <w:numPr>
          <w:ilvl w:val="0"/>
          <w:numId w:val="2"/>
        </w:numPr>
        <w:jc w:val="both"/>
        <w:shd w:val="nil" w:color="auto"/>
        <w:rPr>
          <w14:ligatures w14:val="none"/>
        </w:rPr>
      </w:pPr>
      <w:r>
        <w:t xml:space="preserve">Победитель конкурса РБК Digital Awards – 2022 (РБК Петербург)</w:t>
      </w:r>
      <w:r>
        <w:rPr>
          <w14:ligatures w14:val="none"/>
        </w:rPr>
      </w:r>
      <w:r>
        <w:rPr>
          <w14:ligatures w14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3"/>
    <w:link w:val="830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3"/>
    <w:link w:val="831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3"/>
    <w:link w:val="832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9"/>
    <w:next w:val="829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character" w:styleId="685">
    <w:name w:val="Caption Char"/>
    <w:basedOn w:val="839"/>
    <w:link w:val="683"/>
    <w:uiPriority w:val="99"/>
  </w:style>
  <w:style w:type="table" w:styleId="68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29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3"/>
    <w:uiPriority w:val="99"/>
    <w:unhideWhenUsed/>
    <w:rPr>
      <w:vertAlign w:val="superscript"/>
    </w:rPr>
  </w:style>
  <w:style w:type="paragraph" w:styleId="816">
    <w:name w:val="endnote text"/>
    <w:basedOn w:val="829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3"/>
    <w:uiPriority w:val="99"/>
    <w:semiHidden/>
    <w:unhideWhenUsed/>
    <w:rPr>
      <w:vertAlign w:val="superscript"/>
    </w:rPr>
  </w:style>
  <w:style w:type="paragraph" w:styleId="819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Times New Roman" w:hAnsi="Times New Roman"/>
      <w:sz w:val="28"/>
    </w:rPr>
  </w:style>
  <w:style w:type="paragraph" w:styleId="830">
    <w:name w:val="Heading 1"/>
    <w:basedOn w:val="829"/>
    <w:next w:val="829"/>
    <w:link w:val="83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31">
    <w:name w:val="Heading 2"/>
    <w:basedOn w:val="829"/>
    <w:next w:val="829"/>
    <w:link w:val="83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32">
    <w:name w:val="Heading 3"/>
    <w:basedOn w:val="829"/>
    <w:next w:val="829"/>
    <w:link w:val="838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37" w:customStyle="1">
    <w:name w:val="Заголовок 2 Знак"/>
    <w:basedOn w:val="833"/>
    <w:link w:val="83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838" w:customStyle="1">
    <w:name w:val="Заголовок 3 Знак"/>
    <w:basedOn w:val="833"/>
    <w:link w:val="832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839">
    <w:name w:val="Caption"/>
    <w:basedOn w:val="829"/>
    <w:next w:val="829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840">
    <w:name w:val="No Spacing"/>
    <w:uiPriority w:val="1"/>
    <w:qFormat/>
    <w:pPr>
      <w:spacing w:after="0" w:line="240" w:lineRule="auto"/>
    </w:pPr>
    <w:rPr>
      <w:lang w:val="en-US"/>
    </w:rPr>
  </w:style>
  <w:style w:type="paragraph" w:styleId="841">
    <w:name w:val="List Paragraph"/>
    <w:basedOn w:val="829"/>
    <w:uiPriority w:val="34"/>
    <w:qFormat/>
    <w:pPr>
      <w:contextualSpacing/>
      <w:ind w:left="720"/>
    </w:pPr>
    <w:rPr>
      <w:lang w:val="en-US"/>
    </w:rPr>
  </w:style>
  <w:style w:type="paragraph" w:styleId="842">
    <w:name w:val="TOC Heading"/>
    <w:basedOn w:val="830"/>
    <w:next w:val="829"/>
    <w:uiPriority w:val="39"/>
    <w:unhideWhenUsed/>
    <w:qFormat/>
    <w:pPr>
      <w:outlineLvl w:val="9"/>
    </w:pPr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cloud.mail.ru</dc:creator>
  <cp:lastModifiedBy>Artem Manvelyan</cp:lastModifiedBy>
  <cp:revision>5</cp:revision>
  <dcterms:created xsi:type="dcterms:W3CDTF">2021-02-08T09:00:00Z</dcterms:created>
  <dcterms:modified xsi:type="dcterms:W3CDTF">2025-01-30T19:39:37Z</dcterms:modified>
</cp:coreProperties>
</file>